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hanging="360"/>
        <w:jc w:val="both"/>
        <w:rPr>
          <w:rFonts w:ascii="Arial" w:cs="Arial" w:eastAsia="Arial" w:hAnsi="Arial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4"/>
          <w:szCs w:val="24"/>
          <w:rtl w:val="0"/>
        </w:rPr>
        <w:t xml:space="preserve">ASPECTOS GENERALES </w:t>
      </w:r>
    </w:p>
    <w:tbl>
      <w:tblPr>
        <w:tblStyle w:val="Table1"/>
        <w:tblW w:w="100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240"/>
        <w:gridCol w:w="4820"/>
        <w:tblGridChange w:id="0">
          <w:tblGrid>
            <w:gridCol w:w="5240"/>
            <w:gridCol w:w="48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DE EXPEDIENTE</w:t>
            </w:r>
          </w:p>
          <w:p w:rsidR="00000000" w:rsidDel="00000000" w:rsidP="00000000" w:rsidRDefault="00000000" w:rsidRPr="00000000" w14:paraId="00000003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4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202576002100100007E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de contrato o convenio</w:t>
            </w:r>
          </w:p>
        </w:tc>
        <w:tc>
          <w:tcPr/>
          <w:p w:rsidR="00000000" w:rsidDel="00000000" w:rsidP="00000000" w:rsidRDefault="00000000" w:rsidRPr="00000000" w14:paraId="00000006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768 DE 2024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5" w:hRule="atLeast"/>
          <w:tblHeader w:val="0"/>
        </w:trPr>
        <w:tc>
          <w:tcPr/>
          <w:p w:rsidR="00000000" w:rsidDel="00000000" w:rsidP="00000000" w:rsidRDefault="00000000" w:rsidRPr="00000000" w14:paraId="00000007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Tipo de contrato</w:t>
            </w:r>
          </w:p>
        </w:tc>
        <w:tc>
          <w:tcPr/>
          <w:p w:rsidR="00000000" w:rsidDel="00000000" w:rsidP="00000000" w:rsidRDefault="00000000" w:rsidRPr="00000000" w14:paraId="00000008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CONVENIO INTERADMINISTRATIVO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Contratista </w:t>
            </w:r>
          </w:p>
        </w:tc>
        <w:tc>
          <w:tcPr/>
          <w:p w:rsidR="00000000" w:rsidDel="00000000" w:rsidP="00000000" w:rsidRDefault="00000000" w:rsidRPr="00000000" w14:paraId="0000000A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ASOCIACIÓN NACIONAL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 LAS ARTES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Objeto del contrato </w:t>
            </w:r>
          </w:p>
          <w:p w:rsidR="00000000" w:rsidDel="00000000" w:rsidP="00000000" w:rsidRDefault="00000000" w:rsidRPr="00000000" w14:paraId="0000000C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5" w:line="240" w:lineRule="auto"/>
              <w:ind w:right="84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“Aunar esfuerzos institucionales, administrativos, técnicos, financieros y tecnológicos entre la Secretaría Distrital de Cultura Recreación y Deporte y la Asociación Nacional de Música Sinfónica, para la estructuración, preparación, lanzamiento, divulgación y previsión en general del Concurso Internacional de Violín 2025”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5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Plazo del contrato</w:t>
            </w:r>
          </w:p>
        </w:tc>
        <w:tc>
          <w:tcPr/>
          <w:p w:rsidR="00000000" w:rsidDel="00000000" w:rsidP="00000000" w:rsidRDefault="00000000" w:rsidRPr="00000000" w14:paraId="0000000F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Desde 6/12/2024 hasta el 31/12/2025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1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del cumplimiento de los requisitos de ejecución</w:t>
            </w:r>
          </w:p>
        </w:tc>
        <w:tc>
          <w:tcPr/>
          <w:p w:rsidR="00000000" w:rsidDel="00000000" w:rsidP="00000000" w:rsidRDefault="00000000" w:rsidRPr="00000000" w14:paraId="00000011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06/12/2024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8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inicio de cobertura de la ARL (esto para contratos de prestación de servicios profesionales y de apoyo a la gestión)</w:t>
            </w:r>
          </w:p>
        </w:tc>
        <w:tc>
          <w:tcPr/>
          <w:p w:rsidR="00000000" w:rsidDel="00000000" w:rsidP="00000000" w:rsidRDefault="00000000" w:rsidRPr="00000000" w14:paraId="00000013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inicio </w:t>
            </w:r>
          </w:p>
        </w:tc>
        <w:tc>
          <w:tcPr/>
          <w:p w:rsidR="00000000" w:rsidDel="00000000" w:rsidP="00000000" w:rsidRDefault="00000000" w:rsidRPr="00000000" w14:paraId="00000015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6/12/2024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6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terminación</w:t>
            </w:r>
          </w:p>
        </w:tc>
        <w:tc>
          <w:tcPr/>
          <w:p w:rsidR="00000000" w:rsidDel="00000000" w:rsidP="00000000" w:rsidRDefault="00000000" w:rsidRPr="00000000" w14:paraId="00000017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31/12/2025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8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Período analizado o certificado (dd/mm/aa)</w:t>
            </w:r>
          </w:p>
        </w:tc>
        <w:tc>
          <w:tcPr/>
          <w:p w:rsidR="00000000" w:rsidDel="00000000" w:rsidP="00000000" w:rsidRDefault="00000000" w:rsidRPr="00000000" w14:paraId="00000019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DEL 01/11/2025 AL 30/1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/2025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1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Estado de la Garantía. (Se deberá dejar constancia si la garantía se encuentra vigente o no de conformidad con lo exigido en el contrato, así mismo en el evento en que la garantía haya tenido actualizaciones con ocasión a alguna modificación deberá señalarse tal situación e incorporar la fecha de aprobación de la modificación de la garantía)</w:t>
            </w:r>
          </w:p>
        </w:tc>
        <w:tc>
          <w:tcPr/>
          <w:p w:rsidR="00000000" w:rsidDel="00000000" w:rsidP="00000000" w:rsidRDefault="00000000" w:rsidRPr="00000000" w14:paraId="0000001B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hanging="360"/>
        <w:jc w:val="both"/>
        <w:rPr>
          <w:rFonts w:ascii="Arial" w:cs="Arial" w:eastAsia="Arial" w:hAnsi="Arial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4"/>
          <w:szCs w:val="24"/>
          <w:rtl w:val="0"/>
        </w:rPr>
        <w:t xml:space="preserve">INFORME SOBRE EJECUCIÓN Y AVANCE DEL CONTRATO</w:t>
      </w:r>
    </w:p>
    <w:p w:rsidR="00000000" w:rsidDel="00000000" w:rsidP="00000000" w:rsidRDefault="00000000" w:rsidRPr="00000000" w14:paraId="00000022">
      <w:pPr>
        <w:jc w:val="both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A continuación, se procede a rendir el informe sobre la ejecución y cumplimiento del objeto contratado y cada una de las obligaciones pactadas así:  </w:t>
      </w:r>
    </w:p>
    <w:p w:rsidR="00000000" w:rsidDel="00000000" w:rsidP="00000000" w:rsidRDefault="00000000" w:rsidRPr="00000000" w14:paraId="00000023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OBLIGACIÓN No. 1: </w:t>
      </w:r>
    </w:p>
    <w:tbl>
      <w:tblPr>
        <w:tblStyle w:val="Table2"/>
        <w:tblW w:w="100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815"/>
        <w:gridCol w:w="5245"/>
        <w:tblGridChange w:id="0">
          <w:tblGrid>
            <w:gridCol w:w="4815"/>
            <w:gridCol w:w="524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4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DESCRIPCIÓN </w:t>
            </w:r>
          </w:p>
        </w:tc>
        <w:tc>
          <w:tcPr/>
          <w:p w:rsidR="00000000" w:rsidDel="00000000" w:rsidP="00000000" w:rsidRDefault="00000000" w:rsidRPr="00000000" w14:paraId="00000025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ANÁLISIS DEL CUMPLIMIENTO. </w:t>
            </w:r>
          </w:p>
        </w:tc>
      </w:tr>
      <w:tr>
        <w:trPr>
          <w:cantSplit w:val="0"/>
          <w:trHeight w:val="535" w:hRule="atLeast"/>
          <w:tblHeader w:val="0"/>
        </w:trPr>
        <w:tc>
          <w:tcPr/>
          <w:p w:rsidR="00000000" w:rsidDel="00000000" w:rsidP="00000000" w:rsidRDefault="00000000" w:rsidRPr="00000000" w14:paraId="00000026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Desarrollar las actividades definidas en el Anexo Técnico y el plan de trabajo aprobado en el comité técnico, adelantando los procesos de selección, las alianzas estratégicas y las contrataciones pertinentes.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 llevaron a cabo las actividades de ejecución del Concurso Internacional de Violín Ciudad de Bogotá con la presencia de 5 jurados internacionales, y 18 concursantes internacionales. Hubo el desistimiento, por asuntos de salud, de una Jurado (Silvia Moscovici) y dos concursantes (Audrey Park y Francesco Pappa).</w:t>
            </w:r>
          </w:p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Soporte de todas las actividades correspondientes: https://drive.google.com/drive/folders/1OVAL2WYMpzHnC1-O1qtEkG6e_XD99hVv</w:t>
            </w:r>
          </w:p>
        </w:tc>
      </w:tr>
    </w:tbl>
    <w:p w:rsidR="00000000" w:rsidDel="00000000" w:rsidP="00000000" w:rsidRDefault="00000000" w:rsidRPr="00000000" w14:paraId="0000002A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OBLIGACIÓN No. 2: </w:t>
      </w:r>
    </w:p>
    <w:tbl>
      <w:tblPr>
        <w:tblStyle w:val="Table3"/>
        <w:tblW w:w="100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815"/>
        <w:gridCol w:w="5245"/>
        <w:tblGridChange w:id="0">
          <w:tblGrid>
            <w:gridCol w:w="4815"/>
            <w:gridCol w:w="524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C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DESCRIPCIÓN </w:t>
            </w:r>
          </w:p>
        </w:tc>
        <w:tc>
          <w:tcPr/>
          <w:p w:rsidR="00000000" w:rsidDel="00000000" w:rsidP="00000000" w:rsidRDefault="00000000" w:rsidRPr="00000000" w14:paraId="0000002D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ANÁLISIS DEL CUMPLIMIENTO. </w:t>
            </w:r>
          </w:p>
        </w:tc>
      </w:tr>
      <w:tr>
        <w:trPr>
          <w:cantSplit w:val="0"/>
          <w:trHeight w:val="554" w:hRule="atLeast"/>
          <w:tblHeader w:val="0"/>
        </w:trPr>
        <w:tc>
          <w:tcPr/>
          <w:p w:rsidR="00000000" w:rsidDel="00000000" w:rsidP="00000000" w:rsidRDefault="00000000" w:rsidRPr="00000000" w14:paraId="0000002E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Disponer de los recursos humanos, técnicos, tecnológicos, operativos y logísticos, para el desarrollo de las actividades a su cargo, según lo que se indique en el Anexo Técnico del Convenio. 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Durante el periodo del informe se llevaron a cabo las siguientes vinculaciones:</w:t>
            </w:r>
          </w:p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1. Proveedor de transporte local</w:t>
            </w:r>
          </w:p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2. Proveedores de alimentación</w:t>
            </w:r>
          </w:p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En cumplimiento de estas funciones, se han llevado a cabo las actividades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detalladas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en la Obligación #5.</w:t>
            </w:r>
          </w:p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Soportes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: </w:t>
            </w:r>
          </w:p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000ee"/>
                  <w:sz w:val="24"/>
                  <w:szCs w:val="24"/>
                  <w:u w:val="single"/>
                  <w:rtl w:val="0"/>
                </w:rPr>
                <w:t xml:space="preserve">ORDENES DE SERVICIO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OBLIGACIÓN No. 3: </w:t>
      </w:r>
    </w:p>
    <w:tbl>
      <w:tblPr>
        <w:tblStyle w:val="Table4"/>
        <w:tblW w:w="100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815"/>
        <w:gridCol w:w="5245"/>
        <w:tblGridChange w:id="0">
          <w:tblGrid>
            <w:gridCol w:w="4815"/>
            <w:gridCol w:w="524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B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DESCRIPCIÓN </w:t>
            </w:r>
          </w:p>
        </w:tc>
        <w:tc>
          <w:tcPr/>
          <w:p w:rsidR="00000000" w:rsidDel="00000000" w:rsidP="00000000" w:rsidRDefault="00000000" w:rsidRPr="00000000" w14:paraId="0000003C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ANÁLISIS DEL CUMPLIMIENTO. </w:t>
            </w:r>
          </w:p>
        </w:tc>
      </w:tr>
      <w:tr>
        <w:trPr>
          <w:cantSplit w:val="0"/>
          <w:trHeight w:val="554" w:hRule="atLeast"/>
          <w:tblHeader w:val="0"/>
        </w:trPr>
        <w:tc>
          <w:tcPr/>
          <w:p w:rsidR="00000000" w:rsidDel="00000000" w:rsidP="00000000" w:rsidRDefault="00000000" w:rsidRPr="00000000" w14:paraId="0000003D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Adelantar las actividades necesarias para contar con el recurso humano idóneo, capacitado y pertinente que realizará la Coordinación de Producción y que debe ser Aprobado por el Comité técnico. 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Durante el periodo del informe se llevaron a cabo las siguientes actividades:</w:t>
            </w:r>
          </w:p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1. Primera ronda del Concurso, realizada en al Auditorio Fabio Lozano, del 31 de octubre al 2 de noviembre.</w:t>
            </w:r>
          </w:p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2. Deliberación de la primera ronda del Concurso, llevada a cabo el 2 de noviembre en el Auditorio Fabio Lozano.</w:t>
            </w:r>
          </w:p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3. Anuncio de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semifinal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, llevado a cabo el 2 de noviembre en el Auditorio Fabio Lozano.</w:t>
            </w:r>
          </w:p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4. Ensayos con piano de los 10 semifinalistas, llevados a cabo el 3 y 4 de noviembre en el Auditorio Fabio Lozano.</w:t>
            </w:r>
          </w:p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5. Semifinal del Concurso, realizada en el Auditorio Fabio Lozano, el 4 y 5 de noviembre.</w:t>
            </w:r>
          </w:p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6. Deliberación de la semifinal del Concurso, llevada a cabo el 5 de noviembre en el Auditorio Fabio Lozano.</w:t>
            </w:r>
          </w:p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7. Anuncio de finalistas, llevado a cabo el 5 de noviembre en el Auditorio Fabio Lozano.</w:t>
            </w:r>
          </w:p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8. Ensayo de finalistas con la Orquesta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Filarmónica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de Bogotá, realizado el 6 de noviembre en el Auditorio Fabio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Lozano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48">
            <w:pPr>
              <w:spacing w:after="0" w:before="4" w:line="240" w:lineRule="auto"/>
              <w:ind w:lef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9. Final del Concurso, realizada el 7 de noviembre en el Teatro Mayor.</w:t>
            </w:r>
          </w:p>
          <w:p w:rsidR="00000000" w:rsidDel="00000000" w:rsidP="00000000" w:rsidRDefault="00000000" w:rsidRPr="00000000" w14:paraId="00000049">
            <w:pPr>
              <w:spacing w:after="0" w:before="4" w:line="240" w:lineRule="auto"/>
              <w:ind w:lef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10. Deliberación de la final, realizada el 7 de noviembre en el Teatro Mayor.</w:t>
            </w:r>
          </w:p>
          <w:p w:rsidR="00000000" w:rsidDel="00000000" w:rsidP="00000000" w:rsidRDefault="00000000" w:rsidRPr="00000000" w14:paraId="0000004A">
            <w:pPr>
              <w:spacing w:after="0" w:before="4" w:line="240" w:lineRule="auto"/>
              <w:ind w:lef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11. Anuncio de ganadores, realizado el 7 de noviembre en el Teatro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Mayor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4B">
            <w:pPr>
              <w:spacing w:after="0" w:before="4" w:line="240" w:lineRule="auto"/>
              <w:ind w:lef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spacing w:after="0" w:before="4" w:line="240" w:lineRule="auto"/>
              <w:ind w:lef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hyperlink r:id="rId8">
              <w:r w:rsidDel="00000000" w:rsidR="00000000" w:rsidRPr="00000000">
                <w:rPr>
                  <w:rFonts w:ascii="Arial" w:cs="Arial" w:eastAsia="Arial" w:hAnsi="Arial"/>
                  <w:color w:val="0000ee"/>
                  <w:sz w:val="24"/>
                  <w:szCs w:val="24"/>
                  <w:u w:val="single"/>
                  <w:rtl w:val="0"/>
                </w:rPr>
                <w:t xml:space="preserve">Fotografías para informes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D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OBLIGACIÓN No. 4: </w:t>
      </w:r>
    </w:p>
    <w:tbl>
      <w:tblPr>
        <w:tblStyle w:val="Table5"/>
        <w:tblW w:w="100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815"/>
        <w:gridCol w:w="5245"/>
        <w:tblGridChange w:id="0">
          <w:tblGrid>
            <w:gridCol w:w="4815"/>
            <w:gridCol w:w="524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F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DESCRIPCIÓN </w:t>
            </w:r>
          </w:p>
        </w:tc>
        <w:tc>
          <w:tcPr/>
          <w:p w:rsidR="00000000" w:rsidDel="00000000" w:rsidP="00000000" w:rsidRDefault="00000000" w:rsidRPr="00000000" w14:paraId="00000050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ANÁLISIS DEL CUMPLIMIENTO. </w:t>
            </w:r>
          </w:p>
        </w:tc>
      </w:tr>
      <w:tr>
        <w:trPr>
          <w:cantSplit w:val="0"/>
          <w:trHeight w:val="554" w:hRule="atLeast"/>
          <w:tblHeader w:val="0"/>
        </w:trPr>
        <w:tc>
          <w:tcPr/>
          <w:p w:rsidR="00000000" w:rsidDel="00000000" w:rsidP="00000000" w:rsidRDefault="00000000" w:rsidRPr="00000000" w14:paraId="00000051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Participar en el comité técnico y acoger las recomendaciones que se impartan en tal instancia.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Al 30 de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noviembre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de 2025 se han realizado 10 comités técnicos operativos de la siguiente forma:</w:t>
            </w:r>
          </w:p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112" w:right="0" w:hanging="142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1er comité técnico operativo el 06-12-2024.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2" w:right="0" w:hanging="142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2do comité técnico operativo el 22-01-2025.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2" w:right="0" w:hanging="142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3er comité técnico operativo el 19-03-2025.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2" w:right="0" w:hanging="142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4to comité técnico operativo asincrónico el 28-03-2025.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2" w:right="0" w:hanging="142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5to comité técnico operativo el 12-06-2025.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2" w:right="0" w:hanging="142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6to comité técnico operativo asincrónico el 13-06-2025.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2" w:right="0" w:hanging="142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7mo comité técnico operativo asincrónico el 01-07-2025.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2" w:right="0" w:hanging="142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8vo comité técnico operativo el 28-08-2025.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2" w:right="0" w:hanging="142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9no comité técnico operativo el 25-09-2025.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2" w:right="0" w:hanging="142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10mo comité técnico operativo el 31-10-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2025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2" w:right="0" w:hanging="142"/>
              <w:jc w:val="both"/>
              <w:rPr>
                <w:rFonts w:ascii="Arial" w:cs="Arial" w:eastAsia="Arial" w:hAnsi="Arial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11vo  comité técnico operativo el 17-12-2025.</w:t>
            </w:r>
          </w:p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0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Todas las actas reposan en el expediente N° 202576002100100007E de la plataforma Orfeo.</w:t>
            </w:r>
          </w:p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0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 ha participado articuladamente entre las dos entidades en las sesiones del comité técnico convocadas hasta la fecha, cumpliendo con su compromiso de asistencia y disposición técnica. </w:t>
            </w:r>
          </w:p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0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Durante estas reuniones, ha acogido y puesto en marcha las recomendaciones formuladas por dicha instancia, lo cual se evidencia en el cronograma y en la ejecución operativa del convenio.</w:t>
            </w:r>
          </w:p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0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Esta participación ha contribuido a fortalecer el seguimiento técnico y la articulación interinstitucional.</w:t>
            </w:r>
          </w:p>
        </w:tc>
      </w:tr>
    </w:tbl>
    <w:p w:rsidR="00000000" w:rsidDel="00000000" w:rsidP="00000000" w:rsidRDefault="00000000" w:rsidRPr="00000000" w14:paraId="00000067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OBLIGACIÓN No. 5: </w:t>
      </w:r>
    </w:p>
    <w:tbl>
      <w:tblPr>
        <w:tblStyle w:val="Table6"/>
        <w:tblW w:w="100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815"/>
        <w:gridCol w:w="5245"/>
        <w:tblGridChange w:id="0">
          <w:tblGrid>
            <w:gridCol w:w="4815"/>
            <w:gridCol w:w="524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8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DESCRIPCIÓN </w:t>
            </w:r>
          </w:p>
        </w:tc>
        <w:tc>
          <w:tcPr/>
          <w:p w:rsidR="00000000" w:rsidDel="00000000" w:rsidP="00000000" w:rsidRDefault="00000000" w:rsidRPr="00000000" w14:paraId="00000069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ANÁLISIS DEL CUMPLIMIENTO. </w:t>
            </w:r>
          </w:p>
        </w:tc>
      </w:tr>
      <w:tr>
        <w:trPr>
          <w:cantSplit w:val="0"/>
          <w:trHeight w:val="554" w:hRule="atLeast"/>
          <w:tblHeader w:val="0"/>
        </w:trPr>
        <w:tc>
          <w:tcPr/>
          <w:p w:rsidR="00000000" w:rsidDel="00000000" w:rsidP="00000000" w:rsidRDefault="00000000" w:rsidRPr="00000000" w14:paraId="0000006A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Ejecutar las actividades propuestas en el plan de trabajo aprobado en el comité técnico, de acuerdo con su participación y competencias en el convenio.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Durante el periodo del informe se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llevaron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a cabo las siguientes actividades:</w:t>
            </w:r>
          </w:p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En lo relacionado con las rondas presenciales del Concurso:</w:t>
            </w:r>
          </w:p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1. Primera ronda del Concurso, realizada en al Auditorio Fabio Lozano, del 31 de octubre al 2 de noviembre.</w:t>
            </w:r>
          </w:p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2. Deliberación de la primera ronda del Concurso, llevada a cabo el 2 de noviembre en el Auditorio Fabio Lozano.</w:t>
            </w:r>
          </w:p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3. Anuncio de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finalistas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, llevado a cabo el 2 de noviembre en el Auditorio Fabio Lozano.</w:t>
            </w:r>
          </w:p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4. Ensayos con piano de los 10 semifinalistas, llevados a cabo el 3 y 4 de noviembre en el Auditorio Fabio Lozano.</w:t>
            </w:r>
          </w:p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5. Semifinal del Concurso, realizada en el Auditorio Fabio Lozano, el 4 y 5 de noviembre.</w:t>
            </w:r>
          </w:p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6. Deliberación de la semifinal del Concurso, llevada a cabo el 5 de noviembre en el Auditorio Fabio Lozano.</w:t>
            </w:r>
          </w:p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7. Anuncio de finalistas, llevado a cabo el 5 de noviembre en el Auditorio Fabio Lozano.</w:t>
            </w:r>
          </w:p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8. Ensayo de finalistas con la Orquesta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Filarmónica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de Bogotá, realizado el 6 de noviembre en el Auditorio Fabio Lozano.</w:t>
            </w:r>
          </w:p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9. Final del Concurso, realizada el 7 de noviembre en el Teatro Mayor.</w:t>
            </w:r>
          </w:p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10. Deliberación de la final, realizada el 7 de noviembre en el Teatro Mayor.</w:t>
            </w:r>
          </w:p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11. Anuncio de ganadores, realizado el 7 de noviembre en el Teatro Mayor.</w:t>
            </w:r>
          </w:p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En lo relacionado con la difusión del Concurso se llevaron a cabo las siguientes acciones:</w:t>
            </w:r>
          </w:p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1. Transmisión en redes sociales de todas las jornadas de primera ronda, semifinal y final.</w:t>
            </w:r>
          </w:p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2. Producción de videos para redes sociales por cada ronda del Concurso.</w:t>
            </w:r>
          </w:p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3. Rodaje del cortometraje documental, a lo largo de todo el Concurso.</w:t>
            </w:r>
          </w:p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En lo relacionado con las clases magistrales se llevaron a cabo las siguientes actividades:</w:t>
            </w:r>
          </w:p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1. Programación definitiva de las clases magistrales, asignando los candidatos del concurso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designados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como profesores de este espacio.</w:t>
            </w:r>
          </w:p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2. Notificación a violinistas seleccionados para su participación en las clases magistrales.</w:t>
            </w:r>
          </w:p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3. Realización de las clases magistrales en las siguientes jornadas:</w:t>
            </w:r>
          </w:p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afterAutospacing="0" w:before="4" w:line="240" w:lineRule="auto"/>
              <w:ind w:left="720" w:hanging="36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 de noviembre, Universidad de los Andes.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afterAutospacing="0" w:before="0" w:beforeAutospacing="0" w:line="240" w:lineRule="auto"/>
              <w:ind w:left="720" w:hanging="36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5 de noviembre, Auditorio Fabio Lozano, sala de ensayo de la Orquesta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Sinfónica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Nacional.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0" w:beforeAutospacing="0" w:line="240" w:lineRule="auto"/>
              <w:ind w:left="720" w:hanging="36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6 de noviembre, Universidad de los Andes, y Universidad Jorge Tadeo Lozano.</w:t>
            </w:r>
          </w:p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4. Evaluación de los participantes en las clases magistrales.</w:t>
            </w:r>
          </w:p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5. Consolidación de la evaluación de los participantes en las clases magistrales.</w:t>
            </w:r>
          </w:p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6. Identificación, a partir de los resultados consolidados, de los 20 violinistas seleccionados para recibir uno de los 20 violines elaborados por luthiers locales a partir de la donación de la Fundación Ramírez Moreno.</w:t>
            </w:r>
          </w:p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7. Envío de la información y documentación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 estos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20 violinistas seleccionados al equipo del Teatro Mayor a cargo de la entrega de estos instrumentos.</w:t>
            </w:r>
          </w:p>
          <w:p w:rsidR="00000000" w:rsidDel="00000000" w:rsidP="00000000" w:rsidRDefault="00000000" w:rsidRPr="00000000" w14:paraId="000000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8. Acompañamiento a la recepción de los 20 violines, por parte del coordinador académico.</w:t>
            </w:r>
          </w:p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9. Entrega de los 20 violines, en el marco de la final del concurso.</w:t>
            </w:r>
          </w:p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La evidencia de esta actividad se encuentra disponible en el siguiente enlace:</w:t>
            </w:r>
          </w:p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hyperlink r:id="rId9">
              <w:r w:rsidDel="00000000" w:rsidR="00000000" w:rsidRPr="00000000">
                <w:rPr>
                  <w:rFonts w:ascii="Arial" w:cs="Arial" w:eastAsia="Arial" w:hAnsi="Arial"/>
                  <w:color w:val="0000ff"/>
                  <w:sz w:val="24"/>
                  <w:szCs w:val="24"/>
                  <w:u w:val="single"/>
                  <w:rtl w:val="0"/>
                </w:rPr>
                <w:t xml:space="preserve">https://docs.google.com/spreadsheets/d/1SkzSlINJPpQuOfFd2uWO8uA2Vm-Emdk-WRklE2ulI7A/edit?usp=drive_link</w:t>
              </w:r>
            </w:hyperlink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4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OBLIGACIÓN No. 6: </w:t>
      </w:r>
    </w:p>
    <w:tbl>
      <w:tblPr>
        <w:tblStyle w:val="Table7"/>
        <w:tblW w:w="100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815"/>
        <w:gridCol w:w="5245"/>
        <w:tblGridChange w:id="0">
          <w:tblGrid>
            <w:gridCol w:w="4815"/>
            <w:gridCol w:w="524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6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DESCRIPCIÓN </w:t>
            </w:r>
          </w:p>
        </w:tc>
        <w:tc>
          <w:tcPr/>
          <w:p w:rsidR="00000000" w:rsidDel="00000000" w:rsidP="00000000" w:rsidRDefault="00000000" w:rsidRPr="00000000" w14:paraId="00000097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ANÁLISIS DEL CUMPLIMIENTO. </w:t>
            </w:r>
          </w:p>
        </w:tc>
      </w:tr>
      <w:tr>
        <w:trPr>
          <w:cantSplit w:val="0"/>
          <w:trHeight w:val="554" w:hRule="atLeast"/>
          <w:tblHeader w:val="0"/>
        </w:trPr>
        <w:tc>
          <w:tcPr/>
          <w:p w:rsidR="00000000" w:rsidDel="00000000" w:rsidP="00000000" w:rsidRDefault="00000000" w:rsidRPr="00000000" w14:paraId="00000098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Elaborar el presupuesto del proyecto y un cronograma de actividades, los cuales deben ser concertados con el supervisor del convenio y/o el equipo que se designe para dicho fin por éste, y se someterá a aprobación del comité técnico.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right="83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Durante el periodo reportado, se brindó apoyo a la actualización del presupuesto general del Concurso, incluyendo la consolidación de los aportes de entidades aliadas, en articulación con los equipos de la Orquesta Filarmónica de Bogotá (OFB) y la Asociación Nacional de las Artes ANA.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right="83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 </w:t>
              <w:br w:type="textWrapping"/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ejecución del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presupuesto con corte al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diciembre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se encuentra en la plataforma Orfeo en el expediente 202576002100100007E. Esta es la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ejecución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defi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nitiva.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B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OBLIGACIÓN No. 7: </w:t>
      </w:r>
    </w:p>
    <w:tbl>
      <w:tblPr>
        <w:tblStyle w:val="Table8"/>
        <w:tblW w:w="100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815"/>
        <w:gridCol w:w="5245"/>
        <w:tblGridChange w:id="0">
          <w:tblGrid>
            <w:gridCol w:w="4815"/>
            <w:gridCol w:w="524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D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DESCRIPCIÓN </w:t>
            </w:r>
          </w:p>
        </w:tc>
        <w:tc>
          <w:tcPr/>
          <w:p w:rsidR="00000000" w:rsidDel="00000000" w:rsidP="00000000" w:rsidRDefault="00000000" w:rsidRPr="00000000" w14:paraId="0000009E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ANÁLISIS DEL CUMPLIMIENTO. </w:t>
            </w:r>
          </w:p>
        </w:tc>
      </w:tr>
      <w:tr>
        <w:trPr>
          <w:cantSplit w:val="0"/>
          <w:trHeight w:val="554" w:hRule="atLeast"/>
          <w:tblHeader w:val="0"/>
        </w:trPr>
        <w:tc>
          <w:tcPr/>
          <w:p w:rsidR="00000000" w:rsidDel="00000000" w:rsidP="00000000" w:rsidRDefault="00000000" w:rsidRPr="00000000" w14:paraId="0000009F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Elaborar informes de ejecución mensual con el fin de informar a la contraparte sobre uso de recursos, informar sobre los inscritos y seleccionados al concurso, además del trabajo con eventuales patrocinadores.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 la fecha se han realizado y enviado por parte de la AN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once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) informes de ejecución financiera, correspondientes a los meses de febrero 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iembre de 2025 informando la ejecución del convenio, dichos informes enviados a correspondencia.externa@scrd.gov.co y alojados en el expediente No. 202576002100100007E.</w:t>
            </w:r>
          </w:p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En el periodo de informe se realizó articulación con las embajadas que se detallan en la obligación 11.</w:t>
            </w:r>
          </w:p>
        </w:tc>
      </w:tr>
    </w:tbl>
    <w:p w:rsidR="00000000" w:rsidDel="00000000" w:rsidP="00000000" w:rsidRDefault="00000000" w:rsidRPr="00000000" w14:paraId="000000A3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OBLIGACIÓN No. 8: </w:t>
      </w:r>
    </w:p>
    <w:tbl>
      <w:tblPr>
        <w:tblStyle w:val="Table9"/>
        <w:tblW w:w="100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815"/>
        <w:gridCol w:w="5245"/>
        <w:tblGridChange w:id="0">
          <w:tblGrid>
            <w:gridCol w:w="4815"/>
            <w:gridCol w:w="524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5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DESCRIPCIÓN </w:t>
            </w:r>
          </w:p>
        </w:tc>
        <w:tc>
          <w:tcPr/>
          <w:p w:rsidR="00000000" w:rsidDel="00000000" w:rsidP="00000000" w:rsidRDefault="00000000" w:rsidRPr="00000000" w14:paraId="000000A6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ANÁLISIS DEL CUMPLIMIENTO. </w:t>
            </w:r>
          </w:p>
        </w:tc>
      </w:tr>
      <w:tr>
        <w:trPr>
          <w:cantSplit w:val="0"/>
          <w:trHeight w:val="554" w:hRule="atLeast"/>
          <w:tblHeader w:val="0"/>
        </w:trPr>
        <w:tc>
          <w:tcPr/>
          <w:p w:rsidR="00000000" w:rsidDel="00000000" w:rsidP="00000000" w:rsidRDefault="00000000" w:rsidRPr="00000000" w14:paraId="000000A7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Diseñar y ejecutar la convocatoria internacional, de acuerdo a las pautas definidas en el anexo técnico, dando respuesta a aspirantes y demás interesados. El diseño de la convocatoria se concertará con el supervisor y/o el equipo que se designe para dicho fin por éste y se someterá a aprobación del comité técnico.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3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Durante el periodo del informe se llevó a cabo el proceso de evaluación,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conforme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a lo dispuesto en el reglamento del Concurso. Este proceso contó con el acompañamiento permanente del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productor general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y el coordinador académico, quienes estuvieron presentes en las jornadas de deliberación. Una vez realizada la evaluación en cada ronda, por parte de los jurados y bajo la supervisión de la presidenta del jurado, se realizó la consolidación de la evaluación, de manera presencial por parte del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productor genera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 y con la supervisión permanente de la presidenta del jurado y el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productor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general. Este ejercicio permitió identificar los violinistas seleccionados para avanzar a cada ronda, así como los ganadores de los premios del Concurso.</w:t>
            </w:r>
          </w:p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3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3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La evidencia de este proceso está disponible en el siguiente enlace:</w:t>
            </w:r>
          </w:p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3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hyperlink r:id="rId10">
              <w:r w:rsidDel="00000000" w:rsidR="00000000" w:rsidRPr="00000000">
                <w:rPr>
                  <w:rFonts w:ascii="Arial" w:cs="Arial" w:eastAsia="Arial" w:hAnsi="Arial"/>
                  <w:color w:val="0000ff"/>
                  <w:sz w:val="24"/>
                  <w:szCs w:val="24"/>
                  <w:u w:val="single"/>
                  <w:rtl w:val="0"/>
                </w:rPr>
                <w:t xml:space="preserve">https://drive.google.com/drive/folders/1dXuoWyr6Y217GbpEcjME8OpFfsHKAnmg?usp=drive_link</w:t>
              </w:r>
            </w:hyperlink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 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D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OBLIGACIÓN No. 9: </w:t>
      </w:r>
    </w:p>
    <w:tbl>
      <w:tblPr>
        <w:tblStyle w:val="Table10"/>
        <w:tblW w:w="100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815"/>
        <w:gridCol w:w="5245"/>
        <w:tblGridChange w:id="0">
          <w:tblGrid>
            <w:gridCol w:w="4815"/>
            <w:gridCol w:w="524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F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DESCRIPCIÓN </w:t>
            </w:r>
          </w:p>
        </w:tc>
        <w:tc>
          <w:tcPr/>
          <w:p w:rsidR="00000000" w:rsidDel="00000000" w:rsidP="00000000" w:rsidRDefault="00000000" w:rsidRPr="00000000" w14:paraId="000000B0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ANÁLISIS DEL CUMPLIMIENTO. </w:t>
            </w:r>
          </w:p>
        </w:tc>
      </w:tr>
      <w:tr>
        <w:trPr>
          <w:cantSplit w:val="0"/>
          <w:trHeight w:val="554" w:hRule="atLeast"/>
          <w:tblHeader w:val="0"/>
        </w:trPr>
        <w:tc>
          <w:tcPr/>
          <w:p w:rsidR="00000000" w:rsidDel="00000000" w:rsidP="00000000" w:rsidRDefault="00000000" w:rsidRPr="00000000" w14:paraId="000000B1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Realizar la entrega de los premios a los ganadores del concurso de acuerdo a las especificaciones determinadas en el anexo técnico, según lineamientos que establezca la SCRD.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 elaboró el acta de ganadores y se realizó la solicitud de la siguiente documentación a los ganadores, para efectos del desembolso de sus premios por parte de la Asociación Nacional de las Artes:</w:t>
            </w:r>
          </w:p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1. Pasaporte.</w:t>
            </w:r>
          </w:p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2. Información bancaria.</w:t>
            </w:r>
          </w:p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3. Documento soporte diligenciado y firmado.</w:t>
            </w:r>
          </w:p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Esta información fue solicitada a las siguientes personas y compartidas con la Asociación Nacional de las Artes:</w:t>
            </w:r>
          </w:p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-Primer lugar: Ruifeng Lin.</w:t>
            </w:r>
          </w:p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-Segundo lugar: Mariia Lundina.</w:t>
            </w:r>
          </w:p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-Premios especial a la mejor interpretación de la obra comisionada: Iván Orlín Ariza.</w:t>
            </w:r>
          </w:p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La evidencia de esta actividad se encuentra disponible en el siguiente enlace:</w:t>
            </w:r>
          </w:p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hyperlink r:id="rId11">
              <w:r w:rsidDel="00000000" w:rsidR="00000000" w:rsidRPr="00000000">
                <w:rPr>
                  <w:rFonts w:ascii="Arial" w:cs="Arial" w:eastAsia="Arial" w:hAnsi="Arial"/>
                  <w:color w:val="0000ff"/>
                  <w:sz w:val="24"/>
                  <w:szCs w:val="24"/>
                  <w:u w:val="single"/>
                  <w:rtl w:val="0"/>
                </w:rPr>
                <w:t xml:space="preserve">https://drive.google.com/drive/folders/1Nc2uhKJctRyUnfznJGimY_BFNL_67Su-?usp=drive_link</w:t>
              </w:r>
            </w:hyperlink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C1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OBLIGACIÓN No. 10: </w:t>
      </w:r>
    </w:p>
    <w:tbl>
      <w:tblPr>
        <w:tblStyle w:val="Table11"/>
        <w:tblW w:w="100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815"/>
        <w:gridCol w:w="5245"/>
        <w:tblGridChange w:id="0">
          <w:tblGrid>
            <w:gridCol w:w="4815"/>
            <w:gridCol w:w="524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3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DESCRIPCIÓN </w:t>
            </w:r>
          </w:p>
        </w:tc>
        <w:tc>
          <w:tcPr/>
          <w:p w:rsidR="00000000" w:rsidDel="00000000" w:rsidP="00000000" w:rsidRDefault="00000000" w:rsidRPr="00000000" w14:paraId="000000C4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ANÁLISIS DEL CUMPLIMIENTO. </w:t>
            </w:r>
          </w:p>
        </w:tc>
      </w:tr>
      <w:tr>
        <w:trPr>
          <w:cantSplit w:val="0"/>
          <w:trHeight w:val="554" w:hRule="atLeast"/>
          <w:tblHeader w:val="0"/>
        </w:trPr>
        <w:tc>
          <w:tcPr/>
          <w:p w:rsidR="00000000" w:rsidDel="00000000" w:rsidP="00000000" w:rsidRDefault="00000000" w:rsidRPr="00000000" w14:paraId="000000C5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Diseñar y ejecutar las condiciones generales de participación, elaboración del repertorio del concurso, y comisión de obra destinada a ser interpretada durante el concurso, las cuales deberán ser concertadas con el supervisor y/o el equipo que se designe para dicho fin por éste y se someterá a aprobación del comité técnico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Durante el periodo del informe de llevaron a cabo las siguientes actividades:</w:t>
            </w:r>
          </w:p>
          <w:p w:rsidR="00000000" w:rsidDel="00000000" w:rsidP="00000000" w:rsidRDefault="00000000" w:rsidRPr="00000000" w14:paraId="000000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1. Desarrollo de los días 2 y 3 de la primera ronda.</w:t>
            </w:r>
          </w:p>
          <w:p w:rsidR="00000000" w:rsidDel="00000000" w:rsidP="00000000" w:rsidRDefault="00000000" w:rsidRPr="00000000" w14:paraId="000000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2. Análisis del repertorio de los 10 semifinalistas.</w:t>
            </w:r>
          </w:p>
          <w:p w:rsidR="00000000" w:rsidDel="00000000" w:rsidP="00000000" w:rsidRDefault="00000000" w:rsidRPr="00000000" w14:paraId="000000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3. Planeación de ensayos con pianista de los 10 semifinalistas.</w:t>
            </w:r>
          </w:p>
          <w:p w:rsidR="00000000" w:rsidDel="00000000" w:rsidP="00000000" w:rsidRDefault="00000000" w:rsidRPr="00000000" w14:paraId="000000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4. Desarrollo de los dos días de semifinal.</w:t>
            </w:r>
          </w:p>
          <w:p w:rsidR="00000000" w:rsidDel="00000000" w:rsidP="00000000" w:rsidRDefault="00000000" w:rsidRPr="00000000" w14:paraId="000000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5. Análisis del repertorio de finalistas.</w:t>
            </w:r>
          </w:p>
          <w:p w:rsidR="00000000" w:rsidDel="00000000" w:rsidP="00000000" w:rsidRDefault="00000000" w:rsidRPr="00000000" w14:paraId="000000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6. Planeación del ensayo de finalistas.</w:t>
            </w:r>
          </w:p>
          <w:p w:rsidR="00000000" w:rsidDel="00000000" w:rsidP="00000000" w:rsidRDefault="00000000" w:rsidRPr="00000000" w14:paraId="000000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7. Ensayo de finalistas.</w:t>
            </w:r>
          </w:p>
          <w:p w:rsidR="00000000" w:rsidDel="00000000" w:rsidP="00000000" w:rsidRDefault="00000000" w:rsidRPr="00000000" w14:paraId="000000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8. Desarrollo de la final del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Concurso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1, 4, 7, 8. </w:t>
            </w:r>
            <w:hyperlink r:id="rId12">
              <w:r w:rsidDel="00000000" w:rsidR="00000000" w:rsidRPr="00000000">
                <w:rPr>
                  <w:rFonts w:ascii="Arial" w:cs="Arial" w:eastAsia="Arial" w:hAnsi="Arial"/>
                  <w:color w:val="0000ee"/>
                  <w:sz w:val="24"/>
                  <w:szCs w:val="24"/>
                  <w:u w:val="single"/>
                  <w:rtl w:val="0"/>
                </w:rPr>
                <w:t xml:space="preserve">Fotografías para informes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</w:t>
            </w:r>
            <w:hyperlink r:id="rId13">
              <w:r w:rsidDel="00000000" w:rsidR="00000000" w:rsidRPr="00000000">
                <w:rPr>
                  <w:rFonts w:ascii="Arial" w:cs="Arial" w:eastAsia="Arial" w:hAnsi="Arial"/>
                  <w:color w:val="0000ee"/>
                  <w:sz w:val="24"/>
                  <w:szCs w:val="24"/>
                  <w:u w:val="single"/>
                  <w:rtl w:val="0"/>
                </w:rPr>
                <w:t xml:space="preserve">Evaluation Phase 2</w:t>
              </w:r>
            </w:hyperlink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(Análisis repertorio)</w:t>
            </w:r>
          </w:p>
          <w:p w:rsidR="00000000" w:rsidDel="00000000" w:rsidP="00000000" w:rsidRDefault="00000000" w:rsidRPr="00000000" w14:paraId="000000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  <w:hyperlink r:id="rId14">
              <w:r w:rsidDel="00000000" w:rsidR="00000000" w:rsidRPr="00000000">
                <w:rPr>
                  <w:rFonts w:ascii="Arial" w:cs="Arial" w:eastAsia="Arial" w:hAnsi="Arial"/>
                  <w:color w:val="0000ee"/>
                  <w:sz w:val="24"/>
                  <w:szCs w:val="24"/>
                  <w:u w:val="single"/>
                  <w:rtl w:val="0"/>
                </w:rPr>
                <w:t xml:space="preserve">Cronograma ensayos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  <w:hyperlink r:id="rId15">
              <w:r w:rsidDel="00000000" w:rsidR="00000000" w:rsidRPr="00000000">
                <w:rPr>
                  <w:rFonts w:ascii="Arial" w:cs="Arial" w:eastAsia="Arial" w:hAnsi="Arial"/>
                  <w:color w:val="0000ee"/>
                  <w:sz w:val="24"/>
                  <w:szCs w:val="24"/>
                  <w:u w:val="single"/>
                  <w:rtl w:val="0"/>
                </w:rPr>
                <w:t xml:space="preserve">Ensayos semifinal.xlsx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</w:t>
            </w:r>
            <w:hyperlink r:id="rId16">
              <w:r w:rsidDel="00000000" w:rsidR="00000000" w:rsidRPr="00000000">
                <w:rPr>
                  <w:rFonts w:ascii="Arial" w:cs="Arial" w:eastAsia="Arial" w:hAnsi="Arial"/>
                  <w:color w:val="0000ee"/>
                  <w:sz w:val="24"/>
                  <w:szCs w:val="24"/>
                  <w:u w:val="single"/>
                  <w:rtl w:val="0"/>
                </w:rPr>
                <w:t xml:space="preserve">Evaluation Phase 2</w:t>
              </w:r>
            </w:hyperlink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(Análisis repertorio)</w:t>
            </w:r>
          </w:p>
          <w:p w:rsidR="00000000" w:rsidDel="00000000" w:rsidP="00000000" w:rsidRDefault="00000000" w:rsidRPr="00000000" w14:paraId="000000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7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OBLIGACIÓN No. 11: </w:t>
      </w:r>
    </w:p>
    <w:tbl>
      <w:tblPr>
        <w:tblStyle w:val="Table12"/>
        <w:tblW w:w="100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815"/>
        <w:gridCol w:w="5245"/>
        <w:tblGridChange w:id="0">
          <w:tblGrid>
            <w:gridCol w:w="4815"/>
            <w:gridCol w:w="524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9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DESCRIPCIÓN </w:t>
            </w:r>
          </w:p>
        </w:tc>
        <w:tc>
          <w:tcPr/>
          <w:p w:rsidR="00000000" w:rsidDel="00000000" w:rsidP="00000000" w:rsidRDefault="00000000" w:rsidRPr="00000000" w14:paraId="000000DA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ANÁLISIS DEL CUMPLIMIENTO. </w:t>
            </w:r>
          </w:p>
        </w:tc>
      </w:tr>
      <w:tr>
        <w:trPr>
          <w:cantSplit w:val="0"/>
          <w:trHeight w:val="554" w:hRule="atLeast"/>
          <w:tblHeader w:val="0"/>
        </w:trPr>
        <w:tc>
          <w:tcPr/>
          <w:p w:rsidR="00000000" w:rsidDel="00000000" w:rsidP="00000000" w:rsidRDefault="00000000" w:rsidRPr="00000000" w14:paraId="000000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0" w:right="86" w:firstLine="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Gestionar y seguir la relación con patrocinadores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40" w:before="240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Durante el periodo del informe se llevó a cabo articulación con el Teatro Mayor Julio Mario Santo Domingo para efectos de la entrega de violines a los 20 estudiantes más destacados de las clases magistrales. Este ejercicio incluyó:</w:t>
            </w:r>
          </w:p>
          <w:p w:rsidR="00000000" w:rsidDel="00000000" w:rsidP="00000000" w:rsidRDefault="00000000" w:rsidRPr="00000000" w14:paraId="000000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40" w:before="240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-Consolidación de la información y documentación de beneficiarios solicitada por el Teatro Mayor.</w:t>
            </w:r>
          </w:p>
          <w:p w:rsidR="00000000" w:rsidDel="00000000" w:rsidP="00000000" w:rsidRDefault="00000000" w:rsidRPr="00000000" w14:paraId="000000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40" w:before="240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-Envío de documentación de beneficiarios al Teatro Mayor.</w:t>
            </w:r>
          </w:p>
          <w:p w:rsidR="00000000" w:rsidDel="00000000" w:rsidP="00000000" w:rsidRDefault="00000000" w:rsidRPr="00000000" w14:paraId="000000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40" w:before="240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-Acompañamiento en la recepción de los violines comisionados.</w:t>
            </w:r>
          </w:p>
          <w:p w:rsidR="00000000" w:rsidDel="00000000" w:rsidP="00000000" w:rsidRDefault="00000000" w:rsidRPr="00000000" w14:paraId="000000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40" w:before="240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-Acompañamiento en la entrega de violines a los beneficiarios.</w:t>
            </w:r>
          </w:p>
          <w:p w:rsidR="00000000" w:rsidDel="00000000" w:rsidP="00000000" w:rsidRDefault="00000000" w:rsidRPr="00000000" w14:paraId="000000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40" w:before="240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Esta información se encuentra disponible en el siguiente enlace:</w:t>
            </w:r>
          </w:p>
          <w:p w:rsidR="00000000" w:rsidDel="00000000" w:rsidP="00000000" w:rsidRDefault="00000000" w:rsidRPr="00000000" w14:paraId="000000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40" w:before="240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hyperlink r:id="rId17">
              <w:r w:rsidDel="00000000" w:rsidR="00000000" w:rsidRPr="00000000">
                <w:rPr>
                  <w:rFonts w:ascii="Arial" w:cs="Arial" w:eastAsia="Arial" w:hAnsi="Arial"/>
                  <w:color w:val="0000ff"/>
                  <w:sz w:val="24"/>
                  <w:szCs w:val="24"/>
                  <w:u w:val="single"/>
                  <w:rtl w:val="0"/>
                </w:rPr>
                <w:t xml:space="preserve">https://drive.google.com/drive/folders/1riNDkZJpLizb8vVXNRZc4LtPh1-sh8aF?usp=drive_link</w:t>
              </w:r>
            </w:hyperlink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E4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OBLIGACIÓN No. 12: </w:t>
      </w:r>
    </w:p>
    <w:tbl>
      <w:tblPr>
        <w:tblStyle w:val="Table13"/>
        <w:tblW w:w="100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815"/>
        <w:gridCol w:w="5245"/>
        <w:tblGridChange w:id="0">
          <w:tblGrid>
            <w:gridCol w:w="4815"/>
            <w:gridCol w:w="524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6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DESCRIPCIÓN </w:t>
            </w:r>
          </w:p>
        </w:tc>
        <w:tc>
          <w:tcPr/>
          <w:p w:rsidR="00000000" w:rsidDel="00000000" w:rsidP="00000000" w:rsidRDefault="00000000" w:rsidRPr="00000000" w14:paraId="000000E7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ANÁLISIS DEL CUMPLIMIENTO. </w:t>
            </w:r>
          </w:p>
        </w:tc>
      </w:tr>
      <w:tr>
        <w:trPr>
          <w:cantSplit w:val="0"/>
          <w:trHeight w:val="554" w:hRule="atLeast"/>
          <w:tblHeader w:val="0"/>
        </w:trPr>
        <w:tc>
          <w:tcPr/>
          <w:p w:rsidR="00000000" w:rsidDel="00000000" w:rsidP="00000000" w:rsidRDefault="00000000" w:rsidRPr="00000000" w14:paraId="000000E8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Gestionar y diseñar los recursos de pauta en medios, prensa internacional y plataformas digitales. 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112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Durante el periodo del informe se realizó la retransmisión de la semifinal y final en The Violin Channel, en conformidad con el contrato suscrito con este medio. Adem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ás de una profusa divulgación en redes y en prensa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nacional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EA">
            <w:pPr>
              <w:spacing w:after="0" w:before="4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Las evidencias de esta actividad se encuentran disponibles en el siguiente enlace:</w:t>
            </w:r>
          </w:p>
          <w:p w:rsidR="00000000" w:rsidDel="00000000" w:rsidP="00000000" w:rsidRDefault="00000000" w:rsidRPr="00000000" w14:paraId="000000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ind w:lef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hyperlink r:id="rId18">
              <w:r w:rsidDel="00000000" w:rsidR="00000000" w:rsidRPr="00000000">
                <w:rPr>
                  <w:rFonts w:ascii="Arial" w:cs="Arial" w:eastAsia="Arial" w:hAnsi="Arial"/>
                  <w:color w:val="1155cc"/>
                  <w:sz w:val="24"/>
                  <w:szCs w:val="24"/>
                  <w:u w:val="single"/>
                  <w:rtl w:val="0"/>
                </w:rPr>
                <w:t xml:space="preserve">https://docs.google.com/spreadsheets/d/11CgkkQH2bsRsHCTCKwA_DuXy81tXaGRWZdRGMvumv3M/edit?pli=1&amp;gid=1028933370#gid=1028933370</w:t>
              </w:r>
            </w:hyperlink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EC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OBLIGACIÓN No. 13: </w:t>
      </w:r>
    </w:p>
    <w:tbl>
      <w:tblPr>
        <w:tblStyle w:val="Table14"/>
        <w:tblW w:w="100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815"/>
        <w:gridCol w:w="5245"/>
        <w:tblGridChange w:id="0">
          <w:tblGrid>
            <w:gridCol w:w="4815"/>
            <w:gridCol w:w="524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E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DESCRIPCIÓN </w:t>
            </w:r>
          </w:p>
        </w:tc>
        <w:tc>
          <w:tcPr/>
          <w:p w:rsidR="00000000" w:rsidDel="00000000" w:rsidP="00000000" w:rsidRDefault="00000000" w:rsidRPr="00000000" w14:paraId="000000EF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ANÁLISIS DEL CUMPLIMIENTO. </w:t>
            </w:r>
          </w:p>
        </w:tc>
      </w:tr>
      <w:tr>
        <w:trPr>
          <w:cantSplit w:val="0"/>
          <w:trHeight w:val="554" w:hRule="atLeast"/>
          <w:tblHeader w:val="0"/>
        </w:trPr>
        <w:tc>
          <w:tcPr/>
          <w:p w:rsidR="00000000" w:rsidDel="00000000" w:rsidP="00000000" w:rsidRDefault="00000000" w:rsidRPr="00000000" w14:paraId="000000F0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Diseñar y ejecutar de manera conjunta entre las partes la estrategia de prensa, publicitación y medios. 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Durante el periodo del informe se llevaron a cabo las siguientes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actividades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1. Transmisión de las rondas presenciales del Concurso en las redes sociales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2. Rodaje del cortometraje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documental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del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Concurso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, a cargo de la compañía Monarca, en articulación con la OAC.</w:t>
            </w:r>
          </w:p>
          <w:p w:rsidR="00000000" w:rsidDel="00000000" w:rsidP="00000000" w:rsidRDefault="00000000" w:rsidRPr="00000000" w14:paraId="000000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3. Cubrimiento y producción de piezas audiovisuales del concurso,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 cargo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de la OAC.</w:t>
            </w:r>
          </w:p>
          <w:p w:rsidR="00000000" w:rsidDel="00000000" w:rsidP="00000000" w:rsidRDefault="00000000" w:rsidRPr="00000000" w14:paraId="000000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Las evidencias de esta actividad se encuentran disponibles en el siguiente enlace:</w:t>
            </w:r>
          </w:p>
          <w:p w:rsidR="00000000" w:rsidDel="00000000" w:rsidP="00000000" w:rsidRDefault="00000000" w:rsidRPr="00000000" w14:paraId="000000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before="4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hyperlink r:id="rId19">
              <w:r w:rsidDel="00000000" w:rsidR="00000000" w:rsidRPr="00000000">
                <w:rPr>
                  <w:rFonts w:ascii="Arial" w:cs="Arial" w:eastAsia="Arial" w:hAnsi="Arial"/>
                  <w:color w:val="0000ff"/>
                  <w:sz w:val="24"/>
                  <w:szCs w:val="24"/>
                  <w:u w:val="single"/>
                  <w:rtl w:val="0"/>
                </w:rPr>
                <w:t xml:space="preserve">https://www.youtube.com/watch?v=SCqGFfkYv7s&amp;list=PL2Lpk8Cly91Kv1-dSrpCQ82Nmko51e4qs</w:t>
              </w:r>
            </w:hyperlink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F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hanging="360"/>
        <w:jc w:val="both"/>
        <w:rPr>
          <w:rFonts w:ascii="Arial" w:cs="Arial" w:eastAsia="Arial" w:hAnsi="Arial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4"/>
          <w:szCs w:val="24"/>
          <w:rtl w:val="0"/>
        </w:rPr>
        <w:t xml:space="preserve">SEGUIMIENTO A LOS RIESGOS DE LA CONTRATACI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Ó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4"/>
          <w:szCs w:val="24"/>
          <w:rtl w:val="0"/>
        </w:rPr>
        <w:t xml:space="preserve">N</w:t>
      </w:r>
    </w:p>
    <w:p w:rsidR="00000000" w:rsidDel="00000000" w:rsidP="00000000" w:rsidRDefault="00000000" w:rsidRPr="00000000" w14:paraId="000000FC">
      <w:pPr>
        <w:spacing w:after="0" w:before="184" w:line="240" w:lineRule="auto"/>
        <w:ind w:left="264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Conforme la matriz de riesgos definida el comité operativo no ha percibido la posible materialización de alguno de los riesgos, para el proceso de selección se procedió a efectuar el seguimiento de los mismos así: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numPr>
          <w:ilvl w:val="0"/>
          <w:numId w:val="3"/>
        </w:numPr>
        <w:spacing w:after="0" w:before="169" w:line="240" w:lineRule="auto"/>
        <w:ind w:left="624" w:right="40" w:hanging="36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Cambios en la economía nacional o internacional podrían afectar el financiamiento y la sostenibilidad del proyecto. Consecuencia, demoras o imposibilidad de la ejecución del Convenio. El Asociado deberá tener en cuenta los posibles cambios en la economía al momento de presentar su propuesta.</w:t>
      </w:r>
    </w:p>
    <w:p w:rsidR="00000000" w:rsidDel="00000000" w:rsidP="00000000" w:rsidRDefault="00000000" w:rsidRPr="00000000" w14:paraId="000000FE">
      <w:pPr>
        <w:numPr>
          <w:ilvl w:val="0"/>
          <w:numId w:val="3"/>
        </w:numPr>
        <w:spacing w:after="0" w:before="158" w:line="240" w:lineRule="auto"/>
        <w:ind w:left="624" w:right="38" w:hanging="36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Cambios en la regulación o demoras en la obtención de permisos y procesos contractuales necesarios pueden afectar los plazos y costos. Consecuencia, demoras en el inicio de ejecución del proyecto o durante su ejecución. En el evento de generarse la afectación, el asociado deberá informar al supervisor de la ocurrencia del hecho y concretar fórmulas de solución con el asociado.</w:t>
      </w:r>
    </w:p>
    <w:p w:rsidR="00000000" w:rsidDel="00000000" w:rsidP="00000000" w:rsidRDefault="00000000" w:rsidRPr="00000000" w14:paraId="000000FF">
      <w:pPr>
        <w:numPr>
          <w:ilvl w:val="0"/>
          <w:numId w:val="3"/>
        </w:numPr>
        <w:spacing w:after="0" w:before="158" w:line="240" w:lineRule="auto"/>
        <w:ind w:left="624" w:right="47" w:hanging="36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Fallas tecnológicas en los equipos dispuestos para la ejecución del proyecto. Consecuencia, afectación directa en la ejecución del proyecto o presentaciones. El Asociado deberá contar con equipos de backup y soporte técnico para atender las posibles fallas tecnológicas que se presente.</w:t>
      </w:r>
    </w:p>
    <w:p w:rsidR="00000000" w:rsidDel="00000000" w:rsidP="00000000" w:rsidRDefault="00000000" w:rsidRPr="00000000" w14:paraId="00000100">
      <w:pPr>
        <w:numPr>
          <w:ilvl w:val="0"/>
          <w:numId w:val="3"/>
        </w:numPr>
        <w:spacing w:after="0" w:before="157" w:line="240" w:lineRule="auto"/>
        <w:ind w:left="624" w:right="39" w:hanging="36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Cambios de políticas gubernamentales. Consecuencia, puede conllevar a variaciones en el objeto, obligaciones, plazo y ecuación del convenio. Se deben acordar las medidas con el Supervisor para implementar las acciones y las estrategias con el fin de que se ejecuten actividades exigidas.</w:t>
      </w:r>
    </w:p>
    <w:p w:rsidR="00000000" w:rsidDel="00000000" w:rsidP="00000000" w:rsidRDefault="00000000" w:rsidRPr="00000000" w14:paraId="00000101">
      <w:pPr>
        <w:numPr>
          <w:ilvl w:val="0"/>
          <w:numId w:val="3"/>
        </w:numPr>
        <w:spacing w:after="0" w:before="163" w:line="240" w:lineRule="auto"/>
        <w:ind w:left="624" w:right="38" w:hanging="36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Cambio de las condiciones sociales que pueden conllevar a demoras en el cumplimiento de las obligaciones del convenio o cancelación de los eventos. Se deben acordar las medidas con el Supervisor para implementar las acciones y las estrategias con el fin de que se ejecuten actividades exigidas.</w:t>
      </w:r>
    </w:p>
    <w:p w:rsidR="00000000" w:rsidDel="00000000" w:rsidP="00000000" w:rsidRDefault="00000000" w:rsidRPr="00000000" w14:paraId="00000102">
      <w:pPr>
        <w:numPr>
          <w:ilvl w:val="0"/>
          <w:numId w:val="3"/>
        </w:numPr>
        <w:spacing w:after="0" w:before="157" w:line="240" w:lineRule="auto"/>
        <w:ind w:left="624" w:right="47" w:hanging="36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Alteraciones al orden público y condiciones climáticas que pueden llevar a demoras en el cumplimiento de las obligaciones del Convenio o cancelación de los eventos. Se deben acordar las medidas con el Supervisor para implementar las acciones y las estrategias con el fin de que se ejecuten actividades exigidas</w:t>
      </w:r>
    </w:p>
    <w:p w:rsidR="00000000" w:rsidDel="00000000" w:rsidP="00000000" w:rsidRDefault="00000000" w:rsidRPr="00000000" w14:paraId="00000103">
      <w:pPr>
        <w:numPr>
          <w:ilvl w:val="0"/>
          <w:numId w:val="3"/>
        </w:numPr>
        <w:spacing w:after="0" w:before="165" w:line="240" w:lineRule="auto"/>
        <w:ind w:left="624" w:right="41" w:hanging="36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Falla de equipos logísticos y/o de recurso humano a cargo del Asociado. Que conlleva a la afectación en la ejecución del proyecto, representado en demoras o no cumplimiento de los cronogramas. El Asociado deberá garantizar los requisitos mínimos logísticos y vincular durante toda la ejecución del proyecto al equipo de personal exigido garantizando su permanencia durante todo el proyecto</w:t>
      </w:r>
    </w:p>
    <w:p w:rsidR="00000000" w:rsidDel="00000000" w:rsidP="00000000" w:rsidRDefault="00000000" w:rsidRPr="00000000" w14:paraId="000001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360" w:hanging="360"/>
        <w:jc w:val="both"/>
        <w:rPr>
          <w:rFonts w:ascii="Arial" w:cs="Arial" w:eastAsia="Arial" w:hAnsi="Arial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4"/>
          <w:szCs w:val="24"/>
          <w:rtl w:val="0"/>
        </w:rPr>
        <w:t xml:space="preserve">GESTIÓN DOCUMENTAL</w:t>
      </w:r>
    </w:p>
    <w:p w:rsidR="00000000" w:rsidDel="00000000" w:rsidP="00000000" w:rsidRDefault="00000000" w:rsidRPr="00000000" w14:paraId="000001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Se revisó la documentación virtual del expediente contra la física estableciendo que los documentos y evidencias soportes del cumplimiento del contrato, concuerdan y por lo tanto los mismos están completos y son consistentes. </w:t>
      </w:r>
    </w:p>
    <w:p w:rsidR="00000000" w:rsidDel="00000000" w:rsidP="00000000" w:rsidRDefault="00000000" w:rsidRPr="00000000" w14:paraId="000001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360" w:hanging="360"/>
        <w:jc w:val="both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INGRESO AL ALMACÉN: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4"/>
          <w:szCs w:val="24"/>
          <w:rtl w:val="0"/>
        </w:rPr>
        <w:t xml:space="preserve"> (CUANDO EL CONTRATO CONTENGA OBLIGACIONES DE SUMINISTRO O COMPRA DE BIENES SE DEBE INCLUIR LA SIGUIENTE CONSTANCIA, DE LO CONTRARIO ELIMINAR EL NUMERAL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No aplica para este Convenio Interadministrativo</w:t>
      </w:r>
    </w:p>
    <w:p w:rsidR="00000000" w:rsidDel="00000000" w:rsidP="00000000" w:rsidRDefault="00000000" w:rsidRPr="00000000" w14:paraId="000001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firstLine="0"/>
        <w:jc w:val="both"/>
        <w:rPr>
          <w:rFonts w:ascii="Arial" w:cs="Arial" w:eastAsia="Arial" w:hAnsi="Arial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360" w:hanging="36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4"/>
          <w:szCs w:val="24"/>
          <w:rtl w:val="0"/>
        </w:rPr>
        <w:t xml:space="preserve">COMITÉS TÉCNICOS U OPERATIVOS DEL CONTRATO (CUANDO EN EL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CONTRATO/CONVENIO SE CONFORME UN COMITÉ, SE DEBE INCLUIR ESTE NUMERAL, DE LO CONTRARIO ELIMINARLO)</w:t>
      </w:r>
    </w:p>
    <w:p w:rsidR="00000000" w:rsidDel="00000000" w:rsidP="00000000" w:rsidRDefault="00000000" w:rsidRPr="00000000" w14:paraId="000001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Se han efectuado los comités establecidos en el contrato así: </w:t>
      </w:r>
    </w:p>
    <w:p w:rsidR="00000000" w:rsidDel="00000000" w:rsidP="00000000" w:rsidRDefault="00000000" w:rsidRPr="00000000" w14:paraId="000001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9960.0" w:type="dxa"/>
        <w:jc w:val="center"/>
        <w:tblLayout w:type="fixed"/>
        <w:tblLook w:val="0400"/>
      </w:tblPr>
      <w:tblGrid>
        <w:gridCol w:w="5160"/>
        <w:gridCol w:w="1545"/>
        <w:gridCol w:w="3255"/>
        <w:tblGridChange w:id="0">
          <w:tblGrid>
            <w:gridCol w:w="5160"/>
            <w:gridCol w:w="1545"/>
            <w:gridCol w:w="3255"/>
          </w:tblGrid>
        </w:tblGridChange>
      </w:tblGrid>
      <w:tr>
        <w:trPr>
          <w:cantSplit w:val="0"/>
          <w:trHeight w:val="3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1">
            <w:pPr>
              <w:spacing w:after="0" w:line="240" w:lineRule="auto"/>
              <w:ind w:left="371" w:right="126" w:firstLine="206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ACTAS DE COMITÉS TÉCNICOS OPERATIVOS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2">
            <w:pPr>
              <w:spacing w:after="0" w:before="2" w:line="240" w:lineRule="auto"/>
              <w:ind w:left="335" w:right="283" w:firstLine="5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FECHA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3">
            <w:pPr>
              <w:spacing w:after="0" w:before="2" w:line="240" w:lineRule="auto"/>
              <w:ind w:left="335" w:right="283" w:firstLine="5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NÚMERO DE RADICACIÓN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4">
            <w:pPr>
              <w:spacing w:after="0" w:before="2" w:line="240" w:lineRule="auto"/>
              <w:ind w:left="139" w:right="126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COMITÉ TÉCNICO OPERATIVO No.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5">
            <w:pPr>
              <w:spacing w:after="0" w:line="240" w:lineRule="auto"/>
              <w:ind w:left="155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06/12/2024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6">
            <w:pPr>
              <w:spacing w:after="0" w:line="240" w:lineRule="auto"/>
              <w:ind w:left="155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20251000272083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7">
            <w:pPr>
              <w:spacing w:after="0" w:before="2" w:line="240" w:lineRule="auto"/>
              <w:ind w:left="139" w:right="126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COMITÉ TÉCNICO OPERATIVO No.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8">
            <w:pPr>
              <w:spacing w:after="0" w:line="240" w:lineRule="auto"/>
              <w:ind w:left="155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22/01/2025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9">
            <w:pPr>
              <w:spacing w:after="0" w:line="240" w:lineRule="auto"/>
              <w:ind w:left="155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20251000230393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A">
            <w:pPr>
              <w:spacing w:after="0" w:before="2" w:line="240" w:lineRule="auto"/>
              <w:ind w:left="139" w:right="126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COMITÉ TÉCNICO OPERATIVO No.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B">
            <w:pPr>
              <w:spacing w:after="0" w:line="240" w:lineRule="auto"/>
              <w:ind w:left="155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19/03/2025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C">
            <w:pPr>
              <w:spacing w:after="0" w:line="240" w:lineRule="auto"/>
              <w:ind w:left="155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20251000230453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D">
            <w:pPr>
              <w:spacing w:after="0" w:before="2" w:line="240" w:lineRule="auto"/>
              <w:ind w:left="139" w:right="126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COMITÉ TÉCNICO OPERATIVO ASINCRÓNICO No.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E">
            <w:pPr>
              <w:spacing w:after="0" w:line="240" w:lineRule="auto"/>
              <w:ind w:left="155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28/03/2025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F">
            <w:pPr>
              <w:spacing w:after="0" w:line="240" w:lineRule="auto"/>
              <w:ind w:left="155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20251000230533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0">
            <w:pPr>
              <w:spacing w:after="0" w:before="2" w:line="240" w:lineRule="auto"/>
              <w:ind w:left="139" w:right="126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COMITÉ TÉCNICO OPERATIVO No.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1">
            <w:pPr>
              <w:spacing w:after="0" w:line="240" w:lineRule="auto"/>
              <w:ind w:left="155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12/06/2025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2">
            <w:pPr>
              <w:spacing w:after="0" w:line="240" w:lineRule="auto"/>
              <w:ind w:left="155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20251000371203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3">
            <w:pPr>
              <w:spacing w:after="0" w:before="2" w:line="240" w:lineRule="auto"/>
              <w:ind w:left="139" w:right="126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COMITÉ TÉCNICO OPERATIVO ASINCRÓNICO No.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4">
            <w:pPr>
              <w:spacing w:after="0" w:line="240" w:lineRule="auto"/>
              <w:ind w:left="155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13/06/2025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5">
            <w:pPr>
              <w:spacing w:after="0" w:line="240" w:lineRule="auto"/>
              <w:ind w:left="155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20251000369733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6">
            <w:pPr>
              <w:spacing w:after="0" w:before="2" w:line="240" w:lineRule="auto"/>
              <w:ind w:left="139" w:right="126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COMITÉ TÉCNICO OPERATIVO No.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7">
            <w:pPr>
              <w:spacing w:after="0" w:line="240" w:lineRule="auto"/>
              <w:ind w:left="155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01/07/2025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8">
            <w:pPr>
              <w:spacing w:after="0" w:line="240" w:lineRule="auto"/>
              <w:ind w:left="155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20251000361893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9">
            <w:pPr>
              <w:spacing w:after="0" w:before="2" w:line="240" w:lineRule="auto"/>
              <w:ind w:left="139" w:right="126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COMITÉ TÉCNICO OPERATIVO No. 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A">
            <w:pPr>
              <w:spacing w:after="0" w:line="240" w:lineRule="auto"/>
              <w:ind w:left="155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28/08/2025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B">
            <w:pPr>
              <w:spacing w:after="0" w:line="240" w:lineRule="auto"/>
              <w:ind w:left="155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20251000486443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C">
            <w:pPr>
              <w:spacing w:after="0" w:before="2" w:line="240" w:lineRule="auto"/>
              <w:ind w:left="139" w:right="126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COMITÉ TÉCNICO OPERATIVO No. 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D">
            <w:pPr>
              <w:spacing w:after="0" w:line="240" w:lineRule="auto"/>
              <w:ind w:left="155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25/09/2025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E">
            <w:pPr>
              <w:spacing w:after="0" w:line="240" w:lineRule="auto"/>
              <w:ind w:left="155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20251000581113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F">
            <w:pPr>
              <w:spacing w:after="0" w:before="2" w:line="240" w:lineRule="auto"/>
              <w:ind w:left="139" w:right="126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COMITÉ TÉCNICO OPERATIVO No. 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0">
            <w:pPr>
              <w:spacing w:after="0" w:line="240" w:lineRule="auto"/>
              <w:ind w:left="155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31/10/2025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1">
            <w:pPr>
              <w:spacing w:after="0" w:line="240" w:lineRule="auto"/>
              <w:ind w:left="155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20251000686313</w:t>
            </w:r>
          </w:p>
        </w:tc>
      </w:tr>
    </w:tbl>
    <w:p w:rsidR="00000000" w:rsidDel="00000000" w:rsidP="00000000" w:rsidRDefault="00000000" w:rsidRPr="00000000" w14:paraId="0000013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firstLine="0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360" w:hanging="360"/>
        <w:jc w:val="both"/>
        <w:rPr>
          <w:rFonts w:ascii="Arial" w:cs="Arial" w:eastAsia="Arial" w:hAnsi="Arial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4"/>
          <w:szCs w:val="24"/>
          <w:rtl w:val="0"/>
        </w:rPr>
        <w:t xml:space="preserve">COMITÉS DE OBRA DEL CONTRATO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(CUANDO EL CONTRATO SEA DE OBRA, SE DEBE INCLUIR ESTE NUMERAL, DE LO CONTRARIO ELIMINARLO)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firstLine="0"/>
        <w:jc w:val="both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Arial" w:cs="Arial" w:eastAsia="Arial" w:hAnsi="Arial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No aplica para este Convenio Interadministrativo.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hanging="360"/>
        <w:rPr>
          <w:rFonts w:ascii="Arial" w:cs="Arial" w:eastAsia="Arial" w:hAnsi="Arial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4"/>
          <w:szCs w:val="24"/>
          <w:rtl w:val="0"/>
        </w:rPr>
        <w:t xml:space="preserve">CONCLUSIONES </w:t>
      </w:r>
    </w:p>
    <w:p w:rsidR="00000000" w:rsidDel="00000000" w:rsidP="00000000" w:rsidRDefault="00000000" w:rsidRPr="00000000" w14:paraId="000001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right="39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Una vez analizados los soportes presentados por el contratista, la supervisión certifica el cumplimiento por parte de la Asociación Nacional de Música Sinfónica del objeto y de cada una de las obligaciones previstas en el Convenio de Asociación No. 768 de 2024.</w:t>
      </w:r>
    </w:p>
    <w:p w:rsidR="00000000" w:rsidDel="00000000" w:rsidP="00000000" w:rsidRDefault="00000000" w:rsidRPr="00000000" w14:paraId="000001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80" w:before="280" w:line="240" w:lineRule="auto"/>
        <w:ind w:right="39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Asimismo, esta supervisión deja constancia de la verificación del cumplimiento por parte del contratista del pago de sus obligaciones parafiscales, estableciendo una correcta relación entre el monto cancelado y las sumas que debieron haber sido cotizadas, durante el periodo que se certifica.</w:t>
      </w:r>
    </w:p>
    <w:p w:rsidR="00000000" w:rsidDel="00000000" w:rsidP="00000000" w:rsidRDefault="00000000" w:rsidRPr="00000000" w14:paraId="000001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80" w:before="280" w:line="240" w:lineRule="auto"/>
        <w:ind w:right="39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Certifico que he verificado la completitud en la publicación de los documentos a los cuales hace referencia la Directiva No. 001 de 2025 de la Secretaría Jurídica Distrital o la que la adicione, modifique o haga sus veces en la plataforma SECOP II y en la misma se encuentra publicada toda la información y documentos soporte del contrato y su ejecución, hasta la fecha en la que se verifica y rinde el presente informe.</w:t>
      </w:r>
    </w:p>
    <w:p w:rsidR="00000000" w:rsidDel="00000000" w:rsidP="00000000" w:rsidRDefault="00000000" w:rsidRPr="00000000" w14:paraId="0000013B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_____________________________________</w:t>
      </w:r>
    </w:p>
    <w:p w:rsidR="00000000" w:rsidDel="00000000" w:rsidP="00000000" w:rsidRDefault="00000000" w:rsidRPr="00000000" w14:paraId="0000013D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Nombre: NATALIA SEFAIR LÓPEZ</w:t>
      </w:r>
    </w:p>
    <w:p w:rsidR="00000000" w:rsidDel="00000000" w:rsidP="00000000" w:rsidRDefault="00000000" w:rsidRPr="00000000" w14:paraId="0000013E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Fecha de expedición: 30/11/2025</w:t>
      </w:r>
    </w:p>
    <w:p w:rsidR="00000000" w:rsidDel="00000000" w:rsidP="00000000" w:rsidRDefault="00000000" w:rsidRPr="00000000" w14:paraId="0000013F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Radicado(s) sobre designación de supervisión.</w:t>
      </w:r>
    </w:p>
    <w:p w:rsidR="00000000" w:rsidDel="00000000" w:rsidP="00000000" w:rsidRDefault="00000000" w:rsidRPr="00000000" w14:paraId="00000140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20242000508353. </w:t>
      </w:r>
    </w:p>
    <w:p w:rsidR="00000000" w:rsidDel="00000000" w:rsidP="00000000" w:rsidRDefault="00000000" w:rsidRPr="00000000" w14:paraId="00000141">
      <w:pPr>
        <w:spacing w:after="240" w:before="240" w:lineRule="auto"/>
        <w:jc w:val="both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Nota 1: Este formato no aplica para el trámite de desembolso de los contratos de prestación de servicios y apoyo a la gestión suscritos con persona natural, en la medida que el mismo es surtido a través de Cultured.</w:t>
      </w:r>
    </w:p>
    <w:p w:rsidR="00000000" w:rsidDel="00000000" w:rsidP="00000000" w:rsidRDefault="00000000" w:rsidRPr="00000000" w14:paraId="00000142">
      <w:pPr>
        <w:jc w:val="both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Nota 2: De conformidad con lo dispuesto en los artículos 83 y 84 de la Ley 1474 de 2011 es responsabilidad de cada supervisor la integridad, completitud y veracidad de la información consignada en los informes de ejecución del contrato o su aval, con base en la cual el ordenador del gasto aprueba el pago en el sistema dispuesto para tal fin.</w:t>
      </w:r>
    </w:p>
    <w:sectPr>
      <w:headerReference r:id="rId20" w:type="default"/>
      <w:headerReference r:id="rId21" w:type="first"/>
      <w:headerReference r:id="rId22" w:type="even"/>
      <w:footerReference r:id="rId23" w:type="default"/>
      <w:footerReference r:id="rId24" w:type="first"/>
      <w:footerReference r:id="rId25" w:type="even"/>
      <w:pgSz w:h="15840" w:w="12240" w:orient="portrait"/>
      <w:pgMar w:bottom="1418" w:top="1418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  <w:font w:name="Courier New"/>
  <w:font w:name="Liberation Sans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5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5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5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4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44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76" w:lineRule="auto"/>
      <w:rPr>
        <w:color w:val="ff0000"/>
      </w:rPr>
    </w:pPr>
    <w:r w:rsidDel="00000000" w:rsidR="00000000" w:rsidRPr="00000000">
      <w:rPr>
        <w:rtl w:val="0"/>
      </w:rPr>
    </w:r>
  </w:p>
  <w:tbl>
    <w:tblPr>
      <w:tblStyle w:val="Table16"/>
      <w:tblW w:w="10062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1924"/>
      <w:gridCol w:w="5303"/>
      <w:gridCol w:w="2835"/>
      <w:tblGridChange w:id="0">
        <w:tblGrid>
          <w:gridCol w:w="1924"/>
          <w:gridCol w:w="5303"/>
          <w:gridCol w:w="2835"/>
        </w:tblGrid>
      </w:tblGridChange>
    </w:tblGrid>
    <w:tr>
      <w:trPr>
        <w:cantSplit w:val="0"/>
        <w:trHeight w:val="366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145">
          <w:pPr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pacing w:after="0" w:line="240" w:lineRule="auto"/>
            <w:rPr>
              <w:rFonts w:ascii="Times New Roman" w:cs="Times New Roman" w:eastAsia="Times New Roman" w:hAnsi="Times New Roman"/>
              <w:color w:val="000000"/>
              <w:sz w:val="24"/>
              <w:szCs w:val="24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273685</wp:posOffset>
                </wp:positionH>
                <wp:positionV relativeFrom="paragraph">
                  <wp:posOffset>245110</wp:posOffset>
                </wp:positionV>
                <wp:extent cx="641350" cy="685800"/>
                <wp:effectExtent b="0" l="0" r="0" t="0"/>
                <wp:wrapNone/>
                <wp:docPr id="4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1350" cy="6858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146">
          <w:pPr>
            <w:jc w:val="center"/>
            <w:rPr>
              <w:rFonts w:ascii="Arial" w:cs="Arial" w:eastAsia="Arial" w:hAnsi="Arial"/>
              <w:b w:val="1"/>
              <w:bCs w:val="1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rtl w:val="0"/>
            </w:rPr>
            <w:t xml:space="preserve">GESTIÓN CONTRACTUAL</w:t>
          </w:r>
        </w:p>
      </w:tc>
      <w:tc>
        <w:tcPr/>
        <w:p w:rsidR="00000000" w:rsidDel="00000000" w:rsidP="00000000" w:rsidRDefault="00000000" w:rsidRPr="00000000" w14:paraId="00000147">
          <w:pPr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pacing w:after="0" w:line="240" w:lineRule="auto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CÓDIGO: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CON-PR-02-FR-01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48">
          <w:pPr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pacing w:after="0" w:line="240" w:lineRule="auto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282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4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14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14B">
          <w:pPr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pacing w:after="0" w:line="240" w:lineRule="auto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VERSIÓN: 2</w:t>
          </w:r>
        </w:p>
        <w:p w:rsidR="00000000" w:rsidDel="00000000" w:rsidP="00000000" w:rsidRDefault="00000000" w:rsidRPr="00000000" w14:paraId="0000014C">
          <w:pPr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pacing w:after="0" w:line="240" w:lineRule="auto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blHeader w:val="0"/>
      </w:trPr>
      <w:tc>
        <w:tcPr>
          <w:vMerge w:val="continue"/>
        </w:tcPr>
        <w:p w:rsidR="00000000" w:rsidDel="00000000" w:rsidP="00000000" w:rsidRDefault="00000000" w:rsidRPr="00000000" w14:paraId="0000014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14E">
          <w:pPr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pacing w:after="0" w:line="240" w:lineRule="auto"/>
            <w:jc w:val="center"/>
            <w:rPr>
              <w:rFonts w:ascii="Times New Roman" w:cs="Times New Roman" w:eastAsia="Times New Roman" w:hAnsi="Times New Roman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000000"/>
              <w:sz w:val="24"/>
              <w:szCs w:val="24"/>
              <w:rtl w:val="0"/>
            </w:rPr>
            <w:t xml:space="preserve">INFORME DE SUPERVISIÓN</w:t>
          </w: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14F">
          <w:pPr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pacing w:after="0" w:line="240" w:lineRule="auto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FECHA: </w:t>
          </w:r>
          <w:r w:rsidDel="00000000" w:rsidR="00000000" w:rsidRPr="00000000">
            <w:rPr>
              <w:rFonts w:ascii="Arial" w:cs="Arial" w:eastAsia="Arial" w:hAnsi="Arial"/>
              <w:sz w:val="16"/>
              <w:szCs w:val="16"/>
              <w:rtl w:val="0"/>
            </w:rPr>
            <w:t xml:space="preserve">10</w:t>
          </w: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/</w:t>
          </w:r>
          <w:r w:rsidDel="00000000" w:rsidR="00000000" w:rsidRPr="00000000">
            <w:rPr>
              <w:rFonts w:ascii="Arial" w:cs="Arial" w:eastAsia="Arial" w:hAnsi="Arial"/>
              <w:sz w:val="16"/>
              <w:szCs w:val="16"/>
              <w:rtl w:val="0"/>
            </w:rPr>
            <w:t xml:space="preserve">10</w:t>
          </w: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/202</w:t>
          </w:r>
          <w:r w:rsidDel="00000000" w:rsidR="00000000" w:rsidRPr="00000000">
            <w:rPr>
              <w:rFonts w:ascii="Arial" w:cs="Arial" w:eastAsia="Arial" w:hAnsi="Arial"/>
              <w:sz w:val="16"/>
              <w:szCs w:val="16"/>
              <w:rtl w:val="0"/>
            </w:rPr>
            <w:t xml:space="preserve">5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50">
          <w:pPr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pacing w:after="0" w:line="240" w:lineRule="auto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380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5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15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153">
          <w:pPr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pacing w:after="0" w:line="240" w:lineRule="auto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Página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 de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15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after="0" w:line="240" w:lineRule="auto"/>
      <w:jc w:val="center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5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>
        <w:b w:val="1"/>
        <w:bCs w:val="1"/>
      </w:rPr>
    </w:lvl>
    <w:lvl w:ilvl="1">
      <w:start w:val="1"/>
      <w:numFmt w:val="lowerLetter"/>
      <w:lvlText w:val="%2."/>
      <w:lvlJc w:val="left"/>
      <w:pPr>
        <w:ind w:left="1364" w:hanging="360"/>
      </w:pPr>
      <w:rPr/>
    </w:lvl>
    <w:lvl w:ilvl="2">
      <w:start w:val="1"/>
      <w:numFmt w:val="lowerRoman"/>
      <w:lvlText w:val="%3."/>
      <w:lvlJc w:val="right"/>
      <w:pPr>
        <w:ind w:left="2084" w:hanging="180"/>
      </w:pPr>
      <w:rPr/>
    </w:lvl>
    <w:lvl w:ilvl="3">
      <w:start w:val="1"/>
      <w:numFmt w:val="decimal"/>
      <w:lvlText w:val="%4."/>
      <w:lvlJc w:val="left"/>
      <w:pPr>
        <w:ind w:left="2804" w:hanging="360"/>
      </w:pPr>
      <w:rPr/>
    </w:lvl>
    <w:lvl w:ilvl="4">
      <w:start w:val="1"/>
      <w:numFmt w:val="lowerLetter"/>
      <w:lvlText w:val="%5."/>
      <w:lvlJc w:val="left"/>
      <w:pPr>
        <w:ind w:left="3524" w:hanging="360"/>
      </w:pPr>
      <w:rPr/>
    </w:lvl>
    <w:lvl w:ilvl="5">
      <w:start w:val="1"/>
      <w:numFmt w:val="lowerRoman"/>
      <w:lvlText w:val="%6."/>
      <w:lvlJc w:val="right"/>
      <w:pPr>
        <w:ind w:left="4244" w:hanging="180"/>
      </w:pPr>
      <w:rPr/>
    </w:lvl>
    <w:lvl w:ilvl="6">
      <w:start w:val="1"/>
      <w:numFmt w:val="decimal"/>
      <w:lvlText w:val="%7."/>
      <w:lvlJc w:val="left"/>
      <w:pPr>
        <w:ind w:left="4964" w:hanging="360"/>
      </w:pPr>
      <w:rPr/>
    </w:lvl>
    <w:lvl w:ilvl="7">
      <w:start w:val="1"/>
      <w:numFmt w:val="lowerLetter"/>
      <w:lvlText w:val="%8."/>
      <w:lvlJc w:val="left"/>
      <w:pPr>
        <w:ind w:left="5684" w:hanging="360"/>
      </w:pPr>
      <w:rPr/>
    </w:lvl>
    <w:lvl w:ilvl="8">
      <w:start w:val="1"/>
      <w:numFmt w:val="lowerRoman"/>
      <w:lvlText w:val="%9."/>
      <w:lvlJc w:val="right"/>
      <w:pPr>
        <w:ind w:left="6404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character" w:styleId="EncabezadoCar" w:customStyle="1">
    <w:name w:val="Encabezado Car"/>
    <w:basedOn w:val="Fuentedeprrafopredeter"/>
    <w:link w:val="Encabezado"/>
    <w:uiPriority w:val="99"/>
    <w:qFormat w:val="1"/>
    <w:rsid w:val="000F4EB2"/>
  </w:style>
  <w:style w:type="character" w:styleId="PiedepginaCar" w:customStyle="1">
    <w:name w:val="Pie de página Car"/>
    <w:basedOn w:val="Fuentedeprrafopredeter"/>
    <w:link w:val="Piedepgina"/>
    <w:uiPriority w:val="99"/>
    <w:qFormat w:val="1"/>
    <w:rsid w:val="000F4EB2"/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 w:val="1"/>
    <w:pPr>
      <w:suppressLineNumbers w:val="1"/>
      <w:spacing w:after="120" w:before="120"/>
    </w:pPr>
    <w:rPr>
      <w:rFonts w:cs="Lucida Sans"/>
      <w:i w:val="1"/>
      <w:iCs w:val="1"/>
      <w:sz w:val="24"/>
      <w:szCs w:val="24"/>
    </w:rPr>
  </w:style>
  <w:style w:type="paragraph" w:styleId="ndice" w:customStyle="1">
    <w:name w:val="Índice"/>
    <w:basedOn w:val="Normal"/>
    <w:qFormat w:val="1"/>
    <w:pPr>
      <w:suppressLineNumbers w:val="1"/>
    </w:pPr>
    <w:rPr>
      <w:rFonts w:cs="Lucida Sans"/>
    </w:rPr>
  </w:style>
  <w:style w:type="paragraph" w:styleId="Prrafodelista">
    <w:name w:val="List Paragraph"/>
    <w:basedOn w:val="Normal"/>
    <w:uiPriority w:val="34"/>
    <w:qFormat w:val="1"/>
    <w:rsid w:val="00E6118A"/>
    <w:pPr>
      <w:ind w:left="720"/>
      <w:contextualSpacing w:val="1"/>
    </w:pPr>
  </w:style>
  <w:style w:type="paragraph" w:styleId="Textbody" w:customStyle="1">
    <w:name w:val="Text body"/>
    <w:basedOn w:val="Normal"/>
    <w:qFormat w:val="1"/>
    <w:rsid w:val="00A2659D"/>
    <w:pPr>
      <w:widowControl w:val="0"/>
      <w:suppressAutoHyphens w:val="1"/>
      <w:spacing w:after="140" w:line="288" w:lineRule="auto"/>
    </w:pPr>
    <w:rPr>
      <w:rFonts w:ascii="Times New Roman" w:cs="Times New Roman" w:eastAsia="Times New Roman" w:hAnsi="Times New Roman"/>
      <w:kern w:val="2"/>
      <w:sz w:val="20"/>
      <w:szCs w:val="20"/>
      <w:lang w:bidi="es-ES" w:eastAsia="es-ES" w:val="es-ES"/>
    </w:rPr>
  </w:style>
  <w:style w:type="paragraph" w:styleId="Cabeceraypie" w:customStyle="1">
    <w:name w:val="Cabecera y pie"/>
    <w:basedOn w:val="Normal"/>
    <w:qFormat w:val="1"/>
  </w:style>
  <w:style w:type="paragraph" w:styleId="Encabezado">
    <w:name w:val="header"/>
    <w:basedOn w:val="Normal"/>
    <w:link w:val="EncabezadoCar"/>
    <w:uiPriority w:val="99"/>
    <w:unhideWhenUsed w:val="1"/>
    <w:rsid w:val="000F4EB2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 w:val="1"/>
    <w:rsid w:val="000F4EB2"/>
    <w:pPr>
      <w:tabs>
        <w:tab w:val="center" w:pos="4252"/>
        <w:tab w:val="right" w:pos="8504"/>
      </w:tabs>
      <w:spacing w:after="0" w:line="240" w:lineRule="auto"/>
    </w:pPr>
  </w:style>
  <w:style w:type="paragraph" w:styleId="Contenidodelatabla" w:customStyle="1">
    <w:name w:val="Contenido de la tabla"/>
    <w:basedOn w:val="Normal"/>
    <w:qFormat w:val="1"/>
    <w:rsid w:val="000F4EB2"/>
    <w:pPr>
      <w:widowControl w:val="0"/>
      <w:suppressLineNumbers w:val="1"/>
      <w:suppressAutoHyphens w:val="1"/>
      <w:spacing w:after="0" w:line="240" w:lineRule="auto"/>
      <w:textAlignment w:val="baseline"/>
    </w:pPr>
    <w:rPr>
      <w:rFonts w:ascii="Times New Roman" w:cs="Mangal" w:eastAsia="DejaVu Sans" w:hAnsi="Times New Roman"/>
      <w:kern w:val="2"/>
      <w:sz w:val="24"/>
      <w:szCs w:val="24"/>
      <w:lang w:bidi="hi-IN" w:eastAsia="zh-CN"/>
    </w:rPr>
  </w:style>
  <w:style w:type="table" w:styleId="Tablaconcuadrcula">
    <w:name w:val="Table Grid"/>
    <w:basedOn w:val="Tablanormal"/>
    <w:uiPriority w:val="39"/>
    <w:rsid w:val="00E6118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081B3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 w:val="1"/>
    <w:rsid w:val="00081B36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sid w:val="00081B3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081B36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081B36"/>
    <w:rPr>
      <w:b w:val="1"/>
      <w:bCs w:val="1"/>
      <w:sz w:val="20"/>
      <w:szCs w:val="20"/>
    </w:rPr>
  </w:style>
  <w:style w:type="table" w:styleId="a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3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4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5" w:customStyle="1">
    <w:basedOn w:val="TableNormal0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paragraph" w:styleId="NormalWeb">
    <w:name w:val="Normal (Web)"/>
    <w:basedOn w:val="Normal"/>
    <w:uiPriority w:val="99"/>
    <w:unhideWhenUsed w:val="1"/>
    <w:rsid w:val="00CF7D94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Hipervnculo">
    <w:name w:val="Hyperlink"/>
    <w:basedOn w:val="Fuentedeprrafopredeter"/>
    <w:uiPriority w:val="99"/>
    <w:unhideWhenUsed w:val="1"/>
    <w:rsid w:val="00CF7D94"/>
    <w:rPr>
      <w:color w:val="0000ff"/>
      <w:u w:val="single"/>
    </w:rPr>
  </w:style>
  <w:style w:type="table" w:styleId="a6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7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8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9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a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b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c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d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e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0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1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2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3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4" w:customStyle="1">
    <w:basedOn w:val="TableNormal0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f5" w:customStyle="1">
    <w:basedOn w:val="TableNormal0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627CB0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eader" Target="header2.xml"/><Relationship Id="rId22" Type="http://schemas.openxmlformats.org/officeDocument/2006/relationships/header" Target="header1.xml"/><Relationship Id="rId21" Type="http://schemas.openxmlformats.org/officeDocument/2006/relationships/header" Target="header3.xml"/><Relationship Id="rId24" Type="http://schemas.openxmlformats.org/officeDocument/2006/relationships/footer" Target="footer3.xml"/><Relationship Id="rId23" Type="http://schemas.openxmlformats.org/officeDocument/2006/relationships/footer" Target="foot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docs.google.com/spreadsheets/d/1SkzSlINJPpQuOfFd2uWO8uA2Vm-Emdk-WRklE2ulI7A/edit?usp=drive_link" TargetMode="External"/><Relationship Id="rId25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k5SDBBrW9E-UgrMNP1vj-qrrNgzBy1rR?usp=drive_link" TargetMode="External"/><Relationship Id="rId8" Type="http://schemas.openxmlformats.org/officeDocument/2006/relationships/hyperlink" Target="https://drive.google.com/drive/folders/1mKlSGbgJdhKd_rl3zPe__swWeSs3oJNo?usp=drive_link" TargetMode="External"/><Relationship Id="rId11" Type="http://schemas.openxmlformats.org/officeDocument/2006/relationships/hyperlink" Target="https://drive.google.com/drive/folders/1Nc2uhKJctRyUnfznJGimY_BFNL_67Su-?usp=drive_link" TargetMode="External"/><Relationship Id="rId10" Type="http://schemas.openxmlformats.org/officeDocument/2006/relationships/hyperlink" Target="https://drive.google.com/drive/folders/1dXuoWyr6Y217GbpEcjME8OpFfsHKAnmg?usp=drive_link" TargetMode="External"/><Relationship Id="rId13" Type="http://schemas.openxmlformats.org/officeDocument/2006/relationships/hyperlink" Target="https://docs.google.com/spreadsheets/d/1BRPHtrIhBs8zVrgkq-dWkpaVZg3hyPooEiBUt7zVXUg/edit?gid=1981358611#gid=1981358611" TargetMode="External"/><Relationship Id="rId12" Type="http://schemas.openxmlformats.org/officeDocument/2006/relationships/hyperlink" Target="https://drive.google.com/drive/folders/1mKlSGbgJdhKd_rl3zPe__swWeSs3oJNo?usp=drive_link" TargetMode="External"/><Relationship Id="rId15" Type="http://schemas.openxmlformats.org/officeDocument/2006/relationships/hyperlink" Target="https://docs.google.com/spreadsheets/d/1e1PqVI5_YrBpvT7L1nH8GypfayHJ0MjB/edit?gid=1427533301#gid=1427533301" TargetMode="External"/><Relationship Id="rId14" Type="http://schemas.openxmlformats.org/officeDocument/2006/relationships/hyperlink" Target="https://docs.google.com/spreadsheets/d/1UBKDLfSn4xwJtKoGnAz_txwgvuU1n9wV8IzJ6TaWaqY/edit?gid=225867923#gid=225867923" TargetMode="External"/><Relationship Id="rId17" Type="http://schemas.openxmlformats.org/officeDocument/2006/relationships/hyperlink" Target="https://drive.google.com/drive/folders/1riNDkZJpLizb8vVXNRZc4LtPh1-sh8aF?usp=drive_link" TargetMode="External"/><Relationship Id="rId16" Type="http://schemas.openxmlformats.org/officeDocument/2006/relationships/hyperlink" Target="https://docs.google.com/spreadsheets/d/1BRPHtrIhBs8zVrgkq-dWkpaVZg3hyPooEiBUt7zVXUg/edit?gid=1981358611#gid=1981358611" TargetMode="External"/><Relationship Id="rId19" Type="http://schemas.openxmlformats.org/officeDocument/2006/relationships/hyperlink" Target="https://www.youtube.com/watch?v=SCqGFfkYv7s&amp;list=PL2Lpk8Cly91Kv1-dSrpCQ82Nmko51e4qs" TargetMode="External"/><Relationship Id="rId18" Type="http://schemas.openxmlformats.org/officeDocument/2006/relationships/hyperlink" Target="https://docs.google.com/spreadsheets/d/11CgkkQH2bsRsHCTCKwA_DuXy81tXaGRWZdRGMvumv3M/edit?pli=1&amp;gid=1028933370#gid=1028933370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CTt/+O0aaGJPegcSXRpwTZ5sIA==">CgMxLjA4AHIhMU9VMEVWRjRrel9VNDV4QXp2TnpNM0ExdU9JV3Q1czlp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2025-11-25T16:48:00Z</dcterms:created>
  <dc:creator>Edna Cortes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